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1A2A8" w14:textId="232B5FEC" w:rsidR="00AC34BA" w:rsidRPr="00AC34BA" w:rsidRDefault="00AC34BA" w:rsidP="00AC34BA">
      <w:pPr>
        <w:tabs>
          <w:tab w:val="center" w:pos="4536"/>
          <w:tab w:val="right" w:pos="8280"/>
          <w:tab w:val="right" w:pos="9639"/>
        </w:tabs>
        <w:ind w:right="2"/>
        <w:rPr>
          <w:b/>
          <w:bCs/>
          <w:sz w:val="22"/>
        </w:rPr>
      </w:pPr>
      <w:r w:rsidRPr="00AC34BA">
        <w:rPr>
          <w:b/>
          <w:bCs/>
          <w:sz w:val="22"/>
        </w:rPr>
        <w:t>3GPP TSG RAN WG1 Meeting #95</w:t>
      </w:r>
      <w:r w:rsidRPr="00AC34BA">
        <w:rPr>
          <w:b/>
          <w:bCs/>
          <w:sz w:val="22"/>
        </w:rPr>
        <w:tab/>
      </w:r>
      <w:r w:rsidRPr="00AC34BA">
        <w:rPr>
          <w:b/>
          <w:bCs/>
          <w:sz w:val="22"/>
        </w:rPr>
        <w:tab/>
      </w:r>
      <w:r w:rsidR="00685D9C">
        <w:rPr>
          <w:b/>
          <w:bCs/>
          <w:sz w:val="22"/>
        </w:rPr>
        <w:tab/>
      </w:r>
      <w:r w:rsidR="00A727DA" w:rsidRPr="00A727DA">
        <w:rPr>
          <w:b/>
          <w:bCs/>
          <w:sz w:val="22"/>
        </w:rPr>
        <w:t>R1-1812922</w:t>
      </w:r>
      <w:bookmarkStart w:id="0" w:name="_GoBack"/>
      <w:bookmarkEnd w:id="0"/>
    </w:p>
    <w:p w14:paraId="6CF9D9E6" w14:textId="77777777" w:rsidR="00AC34BA" w:rsidRPr="009513AC" w:rsidRDefault="00AC34BA" w:rsidP="00AC34BA">
      <w:pPr>
        <w:tabs>
          <w:tab w:val="center" w:pos="4536"/>
          <w:tab w:val="right" w:pos="9072"/>
        </w:tabs>
        <w:rPr>
          <w:rFonts w:ascii="Arial" w:eastAsia="MS Mincho" w:hAnsi="Arial" w:cs="Arial"/>
          <w:b/>
          <w:bCs/>
          <w:sz w:val="28"/>
          <w:lang w:eastAsia="ja-JP"/>
        </w:rPr>
      </w:pPr>
      <w:r w:rsidRPr="00AC34BA">
        <w:rPr>
          <w:rFonts w:eastAsia="MS Mincho"/>
          <w:b/>
          <w:bCs/>
          <w:sz w:val="22"/>
          <w:lang w:eastAsia="ja-JP"/>
        </w:rPr>
        <w:t>Spokane, USA, November 12</w:t>
      </w:r>
      <w:r w:rsidRPr="00AC34BA">
        <w:rPr>
          <w:rFonts w:eastAsia="MS Mincho"/>
          <w:b/>
          <w:bCs/>
          <w:sz w:val="22"/>
          <w:vertAlign w:val="superscript"/>
          <w:lang w:eastAsia="ja-JP"/>
        </w:rPr>
        <w:t>th</w:t>
      </w:r>
      <w:r w:rsidRPr="00AC34BA">
        <w:rPr>
          <w:rFonts w:eastAsia="MS Mincho"/>
          <w:b/>
          <w:bCs/>
          <w:sz w:val="22"/>
          <w:lang w:eastAsia="ja-JP"/>
        </w:rPr>
        <w:t xml:space="preserve"> – 16</w:t>
      </w:r>
      <w:r w:rsidRPr="00AC34BA">
        <w:rPr>
          <w:rFonts w:eastAsia="MS Mincho"/>
          <w:b/>
          <w:bCs/>
          <w:sz w:val="22"/>
          <w:vertAlign w:val="superscript"/>
          <w:lang w:eastAsia="ja-JP"/>
        </w:rPr>
        <w:t>th</w:t>
      </w:r>
      <w:r w:rsidRPr="00AC34BA">
        <w:rPr>
          <w:rFonts w:eastAsia="MS Mincho"/>
          <w:b/>
          <w:bCs/>
          <w:sz w:val="22"/>
          <w:lang w:eastAsia="ja-JP"/>
        </w:rPr>
        <w:t xml:space="preserve">, 2018 </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5EAE1020"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155BC3">
        <w:rPr>
          <w:sz w:val="22"/>
          <w:szCs w:val="22"/>
        </w:rPr>
        <w:t>4</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5D2438C5" w14:textId="516AE8C3" w:rsidR="00E1707D" w:rsidRDefault="003D3C45" w:rsidP="00396685">
      <w:pPr>
        <w:pStyle w:val="3GPPHeader"/>
        <w:rPr>
          <w:sz w:val="22"/>
          <w:szCs w:val="22"/>
        </w:rPr>
      </w:pPr>
      <w:r w:rsidRPr="00315C6E">
        <w:rPr>
          <w:sz w:val="22"/>
          <w:szCs w:val="22"/>
        </w:rPr>
        <w:t>Title:</w:t>
      </w:r>
      <w:r w:rsidR="00E90E49" w:rsidRPr="00315C6E">
        <w:rPr>
          <w:sz w:val="22"/>
          <w:szCs w:val="22"/>
        </w:rPr>
        <w:tab/>
      </w:r>
      <w:r w:rsidR="0052575A" w:rsidRPr="0052575A">
        <w:rPr>
          <w:sz w:val="22"/>
          <w:szCs w:val="22"/>
        </w:rPr>
        <w:t>Considerations on supporting full Tx power UL transmission</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6F7688CC" w:rsidR="00A65CB5" w:rsidRDefault="00F96386" w:rsidP="004A311F">
      <w:pPr>
        <w:rPr>
          <w:rFonts w:eastAsia="MS Mincho"/>
          <w:sz w:val="22"/>
          <w:szCs w:val="22"/>
          <w:lang w:eastAsia="ja-JP"/>
        </w:rPr>
      </w:pPr>
      <w:r>
        <w:rPr>
          <w:rFonts w:eastAsia="MS Mincho"/>
          <w:sz w:val="22"/>
          <w:szCs w:val="22"/>
          <w:lang w:eastAsia="ja-JP"/>
        </w:rPr>
        <w:t xml:space="preserve">As part of </w:t>
      </w:r>
      <w:r w:rsidR="007B582B">
        <w:rPr>
          <w:rFonts w:eastAsia="MS Mincho"/>
          <w:sz w:val="22"/>
          <w:szCs w:val="22"/>
          <w:lang w:eastAsia="ja-JP"/>
        </w:rPr>
        <w:t xml:space="preserve">Rel-16 </w:t>
      </w:r>
      <w:r w:rsidR="0037493F">
        <w:rPr>
          <w:rFonts w:eastAsia="MS Mincho"/>
          <w:sz w:val="22"/>
          <w:szCs w:val="22"/>
          <w:lang w:eastAsia="ja-JP"/>
        </w:rPr>
        <w:t xml:space="preserve">MIMO enhancement [1], </w:t>
      </w:r>
      <w:r w:rsidR="00C5346A">
        <w:rPr>
          <w:rFonts w:eastAsia="MS Mincho"/>
          <w:sz w:val="22"/>
          <w:szCs w:val="22"/>
          <w:lang w:eastAsia="ja-JP"/>
        </w:rPr>
        <w:t xml:space="preserve">RAN1 needs to find solutions in order to </w:t>
      </w:r>
      <w:r w:rsidR="006A5808">
        <w:rPr>
          <w:rFonts w:eastAsia="MS Mincho"/>
          <w:sz w:val="22"/>
          <w:szCs w:val="22"/>
          <w:lang w:eastAsia="ja-JP"/>
        </w:rPr>
        <w:t>allow full power transmission</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C81D93">
            <w:pPr>
              <w:numPr>
                <w:ilvl w:val="0"/>
                <w:numId w:val="12"/>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C81D93">
            <w:pPr>
              <w:numPr>
                <w:ilvl w:val="2"/>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C81D93">
            <w:pPr>
              <w:numPr>
                <w:ilvl w:val="1"/>
                <w:numId w:val="12"/>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C81D93">
            <w:pPr>
              <w:numPr>
                <w:ilvl w:val="1"/>
                <w:numId w:val="12"/>
              </w:numPr>
              <w:overflowPunct w:val="0"/>
              <w:autoSpaceDE w:val="0"/>
              <w:autoSpaceDN w:val="0"/>
              <w:adjustRightInd w:val="0"/>
              <w:snapToGrid w:val="0"/>
              <w:spacing w:after="120"/>
              <w:ind w:right="-99"/>
              <w:rPr>
                <w:lang w:eastAsia="ko-KR"/>
              </w:rPr>
            </w:pPr>
            <w:r w:rsidRPr="00C5346A">
              <w:rPr>
                <w:rFonts w:hint="eastAsia"/>
                <w:sz w:val="22"/>
                <w:highlight w:val="yellow"/>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7421376F" w14:textId="74E85C78" w:rsidR="00197A1A" w:rsidRDefault="00197A1A" w:rsidP="00B34FA1">
      <w:pPr>
        <w:rPr>
          <w:rFonts w:eastAsia="MS Mincho"/>
          <w:sz w:val="22"/>
          <w:szCs w:val="22"/>
          <w:lang w:eastAsia="ja-JP"/>
        </w:rPr>
      </w:pPr>
      <w:r>
        <w:rPr>
          <w:rFonts w:eastAsia="MS Mincho"/>
          <w:sz w:val="22"/>
          <w:szCs w:val="22"/>
          <w:lang w:eastAsia="ja-JP"/>
        </w:rPr>
        <w:t>In RAN1 #9</w:t>
      </w:r>
      <w:r w:rsidR="002924E1">
        <w:rPr>
          <w:rFonts w:eastAsia="MS Mincho"/>
          <w:sz w:val="22"/>
          <w:szCs w:val="22"/>
          <w:lang w:eastAsia="ja-JP"/>
        </w:rPr>
        <w:t>4bis</w:t>
      </w:r>
      <w:r>
        <w:rPr>
          <w:rFonts w:eastAsia="MS Mincho"/>
          <w:sz w:val="22"/>
          <w:szCs w:val="22"/>
          <w:lang w:eastAsia="ja-JP"/>
        </w:rPr>
        <w:t xml:space="preserve"> meeting, further progress has been made regarding to the </w:t>
      </w:r>
      <w:r w:rsidR="00705ABE">
        <w:rPr>
          <w:rFonts w:eastAsia="MS Mincho"/>
          <w:sz w:val="22"/>
          <w:szCs w:val="22"/>
          <w:lang w:eastAsia="ja-JP"/>
        </w:rPr>
        <w:t xml:space="preserve">support of full power </w:t>
      </w:r>
      <w:r w:rsidR="00F33DF6">
        <w:rPr>
          <w:rFonts w:eastAsia="MS Mincho"/>
          <w:sz w:val="22"/>
          <w:szCs w:val="22"/>
          <w:lang w:eastAsia="ja-JP"/>
        </w:rPr>
        <w:t xml:space="preserve">PUSCH </w:t>
      </w:r>
      <w:r w:rsidR="00705ABE">
        <w:rPr>
          <w:rFonts w:eastAsia="MS Mincho"/>
          <w:sz w:val="22"/>
          <w:szCs w:val="22"/>
          <w:lang w:eastAsia="ja-JP"/>
        </w:rPr>
        <w:t xml:space="preserve">transmission </w:t>
      </w:r>
      <w:r>
        <w:rPr>
          <w:rFonts w:eastAsia="MS Mincho"/>
          <w:sz w:val="22"/>
          <w:szCs w:val="22"/>
          <w:lang w:eastAsia="ja-JP"/>
        </w:rPr>
        <w:t xml:space="preserve">with the following </w:t>
      </w:r>
      <w:r w:rsidR="001D2522">
        <w:rPr>
          <w:rFonts w:eastAsia="MS Mincho"/>
          <w:sz w:val="22"/>
          <w:szCs w:val="22"/>
          <w:lang w:eastAsia="ja-JP"/>
        </w:rPr>
        <w:t>options</w:t>
      </w:r>
      <w:r w:rsidR="00F62033">
        <w:rPr>
          <w:rFonts w:eastAsia="MS Mincho"/>
          <w:sz w:val="22"/>
          <w:szCs w:val="22"/>
          <w:lang w:eastAsia="ja-JP"/>
        </w:rPr>
        <w:t xml:space="preserve"> [2]</w:t>
      </w:r>
    </w:p>
    <w:p w14:paraId="0050D90D" w14:textId="77777777" w:rsidR="00F62033" w:rsidRDefault="00F62033"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C73560" w14:paraId="4CDBEA06" w14:textId="77777777" w:rsidTr="00C73560">
        <w:tc>
          <w:tcPr>
            <w:tcW w:w="9855" w:type="dxa"/>
          </w:tcPr>
          <w:p w14:paraId="021EC194" w14:textId="77777777" w:rsidR="0075167E" w:rsidRPr="0075167E" w:rsidRDefault="0075167E" w:rsidP="0075167E">
            <w:pPr>
              <w:rPr>
                <w:b/>
                <w:sz w:val="22"/>
                <w:highlight w:val="green"/>
              </w:rPr>
            </w:pPr>
            <w:r w:rsidRPr="0075167E">
              <w:rPr>
                <w:b/>
                <w:sz w:val="22"/>
                <w:highlight w:val="green"/>
              </w:rPr>
              <w:t>Agreement</w:t>
            </w:r>
          </w:p>
          <w:p w14:paraId="70F4EA9C" w14:textId="77777777" w:rsidR="0075167E" w:rsidRPr="0075167E" w:rsidRDefault="0075167E" w:rsidP="0075167E">
            <w:pPr>
              <w:rPr>
                <w:sz w:val="22"/>
              </w:rPr>
            </w:pPr>
            <w:r w:rsidRPr="0075167E">
              <w:rPr>
                <w:sz w:val="22"/>
              </w:rPr>
              <w:t>Consider the following potential solutions and other solutions (such as combination of the solutions below) for</w:t>
            </w:r>
            <w:r w:rsidRPr="0075167E">
              <w:rPr>
                <w:rFonts w:hint="eastAsia"/>
                <w:sz w:val="22"/>
              </w:rPr>
              <w:t xml:space="preserve"> </w:t>
            </w:r>
            <w:r w:rsidRPr="0075167E">
              <w:rPr>
                <w:sz w:val="22"/>
              </w:rPr>
              <w:t>UL full power transmission. Decision will be made in RAN1#95:</w:t>
            </w:r>
          </w:p>
          <w:p w14:paraId="7ED94414" w14:textId="77777777" w:rsidR="0075167E" w:rsidRPr="0075167E" w:rsidRDefault="0075167E" w:rsidP="0075167E">
            <w:pPr>
              <w:rPr>
                <w:sz w:val="22"/>
              </w:rPr>
            </w:pPr>
            <w:r w:rsidRPr="0075167E">
              <w:rPr>
                <w:sz w:val="22"/>
              </w:rPr>
              <w:lastRenderedPageBreak/>
              <w:t>Option 1: Refinement/adjustment of UL codebook is supported</w:t>
            </w:r>
          </w:p>
          <w:p w14:paraId="7015A946" w14:textId="0720B078" w:rsidR="0075167E" w:rsidRPr="0075167E" w:rsidRDefault="0075167E" w:rsidP="0075167E">
            <w:pPr>
              <w:numPr>
                <w:ilvl w:val="1"/>
                <w:numId w:val="12"/>
              </w:numPr>
              <w:ind w:left="800"/>
              <w:rPr>
                <w:sz w:val="22"/>
              </w:rPr>
            </w:pPr>
            <w:r w:rsidRPr="0075167E">
              <w:rPr>
                <w:sz w:val="22"/>
              </w:rPr>
              <w:t>1-1: Support a new codebookSubset for non-coherent and partial-coherent transmission capable UEs</w:t>
            </w:r>
          </w:p>
          <w:p w14:paraId="0A0BE5EF" w14:textId="77777777" w:rsidR="0075167E" w:rsidRPr="0075167E" w:rsidRDefault="0075167E" w:rsidP="0075167E">
            <w:pPr>
              <w:numPr>
                <w:ilvl w:val="1"/>
                <w:numId w:val="12"/>
              </w:numPr>
              <w:ind w:left="800"/>
              <w:rPr>
                <w:sz w:val="22"/>
              </w:rPr>
            </w:pPr>
            <w:r w:rsidRPr="0075167E">
              <w:rPr>
                <w:sz w:val="22"/>
              </w:rPr>
              <w:t>1-2: Introduce additional scaling factor for uplink codebook</w:t>
            </w:r>
          </w:p>
          <w:p w14:paraId="0580ACE9" w14:textId="77777777" w:rsidR="0075167E" w:rsidRPr="0075167E" w:rsidRDefault="0075167E" w:rsidP="0075167E">
            <w:pPr>
              <w:rPr>
                <w:sz w:val="22"/>
              </w:rPr>
            </w:pPr>
            <w:r w:rsidRPr="0075167E">
              <w:rPr>
                <w:sz w:val="22"/>
              </w:rPr>
              <w:t>Option 2: UE transparently apply a small cyclic or linear delay</w:t>
            </w:r>
          </w:p>
          <w:p w14:paraId="34762B21" w14:textId="77777777" w:rsidR="0075167E" w:rsidRPr="0075167E" w:rsidRDefault="0075167E" w:rsidP="0075167E">
            <w:pPr>
              <w:rPr>
                <w:sz w:val="22"/>
              </w:rPr>
            </w:pPr>
            <w:r w:rsidRPr="0075167E">
              <w:rPr>
                <w:sz w:val="22"/>
              </w:rPr>
              <w:t>Option 3: Power control mechanism to be modified to support UL full power transmission without precluding the use of full rated PA(s)</w:t>
            </w:r>
          </w:p>
          <w:p w14:paraId="34616B94" w14:textId="77777777" w:rsidR="0075167E" w:rsidRPr="0075167E" w:rsidRDefault="0075167E" w:rsidP="0075167E">
            <w:pPr>
              <w:numPr>
                <w:ilvl w:val="1"/>
                <w:numId w:val="12"/>
              </w:numPr>
              <w:ind w:left="800"/>
              <w:rPr>
                <w:sz w:val="22"/>
              </w:rPr>
            </w:pPr>
            <w:r w:rsidRPr="0075167E">
              <w:rPr>
                <w:sz w:val="22"/>
              </w:rPr>
              <w:t>Note: Full rated PA refers to a PA having power not lower than that of the power class</w:t>
            </w:r>
          </w:p>
          <w:p w14:paraId="6AF179D6" w14:textId="02821E08" w:rsidR="00C73560" w:rsidRPr="0075167E" w:rsidRDefault="0075167E" w:rsidP="0075167E">
            <w:r w:rsidRPr="0075167E">
              <w:rPr>
                <w:sz w:val="22"/>
              </w:rPr>
              <w:t>Option 4: Up to UE implementation (no specification impact)</w:t>
            </w:r>
          </w:p>
        </w:tc>
      </w:tr>
    </w:tbl>
    <w:p w14:paraId="0163D0CC" w14:textId="77777777" w:rsidR="00197A1A" w:rsidRDefault="00197A1A" w:rsidP="00B34FA1">
      <w:pPr>
        <w:rPr>
          <w:rFonts w:eastAsia="MS Mincho"/>
          <w:sz w:val="22"/>
          <w:szCs w:val="22"/>
          <w:lang w:eastAsia="ja-JP"/>
        </w:rPr>
      </w:pPr>
    </w:p>
    <w:p w14:paraId="584855E0" w14:textId="59C50B84" w:rsidR="00026C10" w:rsidRDefault="00B512A2" w:rsidP="004A311F">
      <w:pPr>
        <w:rPr>
          <w:rFonts w:eastAsia="MS Mincho"/>
          <w:sz w:val="22"/>
          <w:szCs w:val="22"/>
          <w:lang w:eastAsia="ja-JP"/>
        </w:rPr>
      </w:pPr>
      <w:r>
        <w:rPr>
          <w:rFonts w:eastAsia="MS Mincho"/>
          <w:sz w:val="22"/>
          <w:szCs w:val="22"/>
          <w:lang w:eastAsia="ja-JP"/>
        </w:rPr>
        <w:t xml:space="preserve">In </w:t>
      </w:r>
      <w:r w:rsidR="00C04C49">
        <w:rPr>
          <w:rFonts w:eastAsia="MS Mincho"/>
          <w:sz w:val="22"/>
          <w:szCs w:val="22"/>
          <w:lang w:eastAsia="ja-JP"/>
        </w:rPr>
        <w:t>this</w:t>
      </w:r>
      <w:r>
        <w:rPr>
          <w:rFonts w:eastAsia="MS Mincho"/>
          <w:sz w:val="22"/>
          <w:szCs w:val="22"/>
          <w:lang w:eastAsia="ja-JP"/>
        </w:rPr>
        <w:t xml:space="preserve"> contribution, we </w:t>
      </w:r>
      <w:r w:rsidR="00026C10">
        <w:rPr>
          <w:rFonts w:eastAsia="MS Mincho"/>
          <w:sz w:val="22"/>
          <w:szCs w:val="22"/>
          <w:lang w:eastAsia="ja-JP"/>
        </w:rPr>
        <w:t>provide our view on this topic</w:t>
      </w:r>
    </w:p>
    <w:p w14:paraId="414EBDD8" w14:textId="00C76800" w:rsidR="00AB04F8" w:rsidRDefault="004E001F" w:rsidP="006F0C31">
      <w:pPr>
        <w:pStyle w:val="Heading1"/>
      </w:pPr>
      <w:r>
        <w:t xml:space="preserve">Support of PUSCH Full Power </w:t>
      </w:r>
      <w:r w:rsidR="00395317">
        <w:t>T</w:t>
      </w:r>
      <w:r w:rsidR="00AB04F8">
        <w:t>ransmission</w:t>
      </w:r>
    </w:p>
    <w:p w14:paraId="710C3098" w14:textId="77777777" w:rsidR="001E60EE" w:rsidRDefault="001E60EE" w:rsidP="0026379A">
      <w:pPr>
        <w:rPr>
          <w:sz w:val="22"/>
        </w:rPr>
      </w:pPr>
      <w:r>
        <w:rPr>
          <w:sz w:val="22"/>
        </w:rPr>
        <w:t>From the design perspective, there are two related issues in Rel-15 NR specification that lead to the fact that UE may not be able to transmit at full power when UE only supports non-coherent or partially coherent antennas</w:t>
      </w:r>
    </w:p>
    <w:p w14:paraId="6B0F23A6" w14:textId="77777777" w:rsidR="00012DCE" w:rsidRDefault="00012DCE" w:rsidP="0026379A">
      <w:pPr>
        <w:rPr>
          <w:sz w:val="22"/>
        </w:rPr>
      </w:pPr>
    </w:p>
    <w:p w14:paraId="57CE0C87" w14:textId="59F8F2A3" w:rsidR="00BD206F" w:rsidRDefault="001E60EE" w:rsidP="00C81D93">
      <w:pPr>
        <w:pStyle w:val="ListParagraph"/>
        <w:numPr>
          <w:ilvl w:val="0"/>
          <w:numId w:val="13"/>
        </w:numPr>
        <w:rPr>
          <w:rFonts w:ascii="Times New Roman" w:hAnsi="Times New Roman"/>
        </w:rPr>
      </w:pPr>
      <w:r>
        <w:rPr>
          <w:rFonts w:ascii="Times New Roman" w:hAnsi="Times New Roman"/>
        </w:rPr>
        <w:t xml:space="preserve">Transmit precoder codebook design: the transmit precoder in 212 is designed such that the energy </w:t>
      </w:r>
      <w:r w:rsidR="00503A11">
        <w:rPr>
          <w:rFonts w:ascii="Times New Roman" w:hAnsi="Times New Roman"/>
        </w:rPr>
        <w:t>is not</w:t>
      </w:r>
      <w:r>
        <w:rPr>
          <w:rFonts w:ascii="Times New Roman" w:hAnsi="Times New Roman"/>
        </w:rPr>
        <w:t xml:space="preserve"> normalized to</w:t>
      </w:r>
      <w:r w:rsidR="00BD206F">
        <w:rPr>
          <w:rFonts w:ascii="Times New Roman" w:hAnsi="Times New Roman"/>
        </w:rPr>
        <w:t xml:space="preserve"> 1. </w:t>
      </w:r>
      <w:r w:rsidR="00BB22A2">
        <w:rPr>
          <w:rFonts w:ascii="Times New Roman" w:hAnsi="Times New Roman"/>
        </w:rPr>
        <w:t>This issue together with the following power control rule cause</w:t>
      </w:r>
      <w:r w:rsidR="006D3664">
        <w:rPr>
          <w:rFonts w:ascii="Times New Roman" w:hAnsi="Times New Roman"/>
        </w:rPr>
        <w:t>s</w:t>
      </w:r>
      <w:r w:rsidR="00BB22A2">
        <w:rPr>
          <w:rFonts w:ascii="Times New Roman" w:hAnsi="Times New Roman"/>
        </w:rPr>
        <w:t xml:space="preserve"> the problem</w:t>
      </w:r>
      <w:r w:rsidR="00872E0F">
        <w:rPr>
          <w:rFonts w:ascii="Times New Roman" w:hAnsi="Times New Roman"/>
        </w:rPr>
        <w:t>.</w:t>
      </w:r>
    </w:p>
    <w:p w14:paraId="5E73A784" w14:textId="77777777" w:rsidR="0085554C" w:rsidRPr="0085554C" w:rsidRDefault="005D3A95" w:rsidP="003801E8">
      <w:pPr>
        <w:pStyle w:val="ListParagraph"/>
        <w:numPr>
          <w:ilvl w:val="0"/>
          <w:numId w:val="13"/>
        </w:numPr>
      </w:pPr>
      <w:r>
        <w:rPr>
          <w:rFonts w:ascii="Times New Roman" w:hAnsi="Times New Roman"/>
        </w:rPr>
        <w:t xml:space="preserve">Power control: </w:t>
      </w:r>
      <w:r w:rsidR="00D84C3B">
        <w:rPr>
          <w:rFonts w:ascii="Times New Roman" w:hAnsi="Times New Roman"/>
        </w:rPr>
        <w:t>power control</w:t>
      </w:r>
      <w:r w:rsidRPr="005D3A95">
        <w:rPr>
          <w:rFonts w:ascii="Times New Roman" w:hAnsi="Times New Roman"/>
        </w:rPr>
        <w:t xml:space="preserve"> rule </w:t>
      </w:r>
      <w:r w:rsidR="00D84C3B">
        <w:rPr>
          <w:rFonts w:ascii="Times New Roman" w:hAnsi="Times New Roman"/>
        </w:rPr>
        <w:t xml:space="preserve">in 213 </w:t>
      </w:r>
      <w:r w:rsidRPr="005D3A95">
        <w:rPr>
          <w:rFonts w:ascii="Times New Roman" w:hAnsi="Times New Roman"/>
        </w:rPr>
        <w:t xml:space="preserve">requires scaling the PUSCH transmit power </w:t>
      </w:r>
      <w:r w:rsidR="00F2777C">
        <w:rPr>
          <w:rFonts w:ascii="Times New Roman" w:hAnsi="Times New Roman"/>
        </w:rPr>
        <w:t xml:space="preserve">by </w:t>
      </w:r>
      <w:r w:rsidRPr="005D3A95">
        <w:rPr>
          <w:rFonts w:ascii="Times New Roman" w:hAnsi="Times New Roman"/>
        </w:rPr>
        <w:t xml:space="preserve">the ratio of non-zero PUSCH ports to total configured ports. </w:t>
      </w:r>
      <w:r w:rsidR="00D20A1B">
        <w:rPr>
          <w:rFonts w:ascii="Times New Roman" w:hAnsi="Times New Roman"/>
        </w:rPr>
        <w:t xml:space="preserve">Clearly, this design </w:t>
      </w:r>
      <w:r w:rsidRPr="005D3A95">
        <w:rPr>
          <w:rFonts w:ascii="Times New Roman" w:hAnsi="Times New Roman"/>
        </w:rPr>
        <w:t>can prevent the UE from transmitting at full power</w:t>
      </w:r>
      <w:r w:rsidR="003801E8">
        <w:rPr>
          <w:rFonts w:ascii="Times New Roman" w:hAnsi="Times New Roman"/>
        </w:rPr>
        <w:t xml:space="preserve"> when UE is only transmitting from a subset of the configured antenna.</w:t>
      </w:r>
    </w:p>
    <w:p w14:paraId="17ECDAA7" w14:textId="08EBF070" w:rsidR="009D5710" w:rsidRPr="00012DCE" w:rsidRDefault="003801E8" w:rsidP="00A80045">
      <w:pPr>
        <w:pStyle w:val="ListParagraph"/>
      </w:pPr>
      <w:r w:rsidRPr="00012DCE">
        <w:t xml:space="preserve"> </w:t>
      </w:r>
    </w:p>
    <w:p w14:paraId="0BA579FE" w14:textId="53BA3348" w:rsidR="003D6AC6" w:rsidRDefault="00163038" w:rsidP="0026379A">
      <w:pPr>
        <w:rPr>
          <w:sz w:val="22"/>
        </w:rPr>
      </w:pPr>
      <w:r>
        <w:rPr>
          <w:sz w:val="22"/>
        </w:rPr>
        <w:t xml:space="preserve">Even though specification can be easily modification to reflect desired UE behavior, </w:t>
      </w:r>
      <w:r w:rsidR="00A80045">
        <w:rPr>
          <w:sz w:val="22"/>
        </w:rPr>
        <w:t>the fundamental difficulty lies in the fact that UE may have different PA architecture in order to support non-coherent or partial coherent UL MIMO.</w:t>
      </w:r>
      <w:r w:rsidR="00165BF9">
        <w:rPr>
          <w:sz w:val="22"/>
        </w:rPr>
        <w:t xml:space="preserve"> Using 2 antenna UE as an example. The solution that provide</w:t>
      </w:r>
      <w:r w:rsidR="0095181E">
        <w:rPr>
          <w:sz w:val="22"/>
        </w:rPr>
        <w:t>s</w:t>
      </w:r>
      <w:r w:rsidR="00165BF9">
        <w:rPr>
          <w:sz w:val="22"/>
        </w:rPr>
        <w:t xml:space="preserve"> the most flexibility </w:t>
      </w:r>
      <w:r w:rsidR="000D0A0A">
        <w:rPr>
          <w:sz w:val="22"/>
        </w:rPr>
        <w:t xml:space="preserve">is </w:t>
      </w:r>
      <w:r w:rsidR="00165BF9">
        <w:rPr>
          <w:sz w:val="22"/>
        </w:rPr>
        <w:t xml:space="preserve">to use full rated </w:t>
      </w:r>
      <w:r w:rsidR="001515D6">
        <w:rPr>
          <w:sz w:val="22"/>
        </w:rPr>
        <w:t xml:space="preserve">PA for each antenna, i.e. 23dBm. </w:t>
      </w:r>
      <w:r w:rsidR="00467538">
        <w:rPr>
          <w:sz w:val="22"/>
        </w:rPr>
        <w:t>However, this solution</w:t>
      </w:r>
      <w:r w:rsidR="007A6C6B">
        <w:rPr>
          <w:sz w:val="22"/>
        </w:rPr>
        <w:t xml:space="preserve"> has the highest cost</w:t>
      </w:r>
      <w:r w:rsidR="00467538">
        <w:rPr>
          <w:sz w:val="22"/>
        </w:rPr>
        <w:t>. A le</w:t>
      </w:r>
      <w:r w:rsidR="007A6C6B">
        <w:rPr>
          <w:sz w:val="22"/>
        </w:rPr>
        <w:t>ast</w:t>
      </w:r>
      <w:r w:rsidR="00467538">
        <w:rPr>
          <w:sz w:val="22"/>
        </w:rPr>
        <w:t xml:space="preserve"> costly solution is to use half rated PA for each antenna, i.e. 20dBm which is the most difficult to support full power transmission. UE can also have one full rate</w:t>
      </w:r>
      <w:r w:rsidR="00D022AA">
        <w:rPr>
          <w:sz w:val="22"/>
        </w:rPr>
        <w:t>d</w:t>
      </w:r>
      <w:r w:rsidR="00467538">
        <w:rPr>
          <w:sz w:val="22"/>
        </w:rPr>
        <w:t xml:space="preserve"> and on</w:t>
      </w:r>
      <w:r w:rsidR="00D022AA">
        <w:rPr>
          <w:sz w:val="22"/>
        </w:rPr>
        <w:t>e</w:t>
      </w:r>
      <w:r w:rsidR="00467538">
        <w:rPr>
          <w:sz w:val="22"/>
        </w:rPr>
        <w:t xml:space="preserve"> half rated PA as compromise between cost </w:t>
      </w:r>
      <w:r w:rsidR="00C35983">
        <w:rPr>
          <w:sz w:val="22"/>
        </w:rPr>
        <w:t>and</w:t>
      </w:r>
      <w:r w:rsidR="00467538">
        <w:rPr>
          <w:sz w:val="22"/>
        </w:rPr>
        <w:t xml:space="preserve"> complexity/performance.</w:t>
      </w:r>
      <w:r w:rsidR="003D6AC6">
        <w:rPr>
          <w:sz w:val="22"/>
        </w:rPr>
        <w:t xml:space="preserve"> Figure 1 illustrate</w:t>
      </w:r>
      <w:r w:rsidR="00D8019F">
        <w:rPr>
          <w:sz w:val="22"/>
        </w:rPr>
        <w:t>s</w:t>
      </w:r>
      <w:r w:rsidR="003D6AC6">
        <w:rPr>
          <w:sz w:val="22"/>
        </w:rPr>
        <w:t xml:space="preserve"> the different possible PA architecture.</w:t>
      </w:r>
    </w:p>
    <w:p w14:paraId="4FA42D31" w14:textId="68667E33" w:rsidR="00467538" w:rsidRDefault="00467538" w:rsidP="0026379A">
      <w:pPr>
        <w:rPr>
          <w:sz w:val="22"/>
        </w:rPr>
      </w:pPr>
    </w:p>
    <w:p w14:paraId="38062880" w14:textId="77777777" w:rsidR="002F7DCF" w:rsidRDefault="003D6AC6" w:rsidP="002F7DCF">
      <w:pPr>
        <w:keepNext/>
      </w:pPr>
      <w:r w:rsidRPr="003D6AC6">
        <w:rPr>
          <w:noProof/>
          <w:sz w:val="22"/>
        </w:rPr>
        <w:drawing>
          <wp:inline distT="0" distB="0" distL="0" distR="0" wp14:anchorId="0FF456EE" wp14:editId="2BB7A109">
            <wp:extent cx="60833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83300" cy="1828800"/>
                    </a:xfrm>
                    <a:prstGeom prst="rect">
                      <a:avLst/>
                    </a:prstGeom>
                  </pic:spPr>
                </pic:pic>
              </a:graphicData>
            </a:graphic>
          </wp:inline>
        </w:drawing>
      </w:r>
    </w:p>
    <w:p w14:paraId="3F045CB8" w14:textId="2D80B261" w:rsidR="00467538" w:rsidRPr="002F7DCF" w:rsidRDefault="002F7DCF" w:rsidP="007661AE">
      <w:pPr>
        <w:pStyle w:val="Caption"/>
        <w:rPr>
          <w:sz w:val="21"/>
        </w:rPr>
      </w:pPr>
      <w:r w:rsidRPr="002F7DCF">
        <w:rPr>
          <w:sz w:val="22"/>
        </w:rPr>
        <w:t xml:space="preserve">Figure </w:t>
      </w:r>
      <w:r w:rsidRPr="002F7DCF">
        <w:rPr>
          <w:sz w:val="22"/>
        </w:rPr>
        <w:fldChar w:fldCharType="begin"/>
      </w:r>
      <w:r w:rsidRPr="002F7DCF">
        <w:rPr>
          <w:sz w:val="22"/>
        </w:rPr>
        <w:instrText xml:space="preserve"> SEQ Figure \* ARABIC </w:instrText>
      </w:r>
      <w:r w:rsidRPr="002F7DCF">
        <w:rPr>
          <w:sz w:val="22"/>
        </w:rPr>
        <w:fldChar w:fldCharType="separate"/>
      </w:r>
      <w:r w:rsidRPr="002F7DCF">
        <w:rPr>
          <w:noProof/>
          <w:sz w:val="22"/>
        </w:rPr>
        <w:t>1</w:t>
      </w:r>
      <w:r w:rsidRPr="002F7DCF">
        <w:rPr>
          <w:sz w:val="22"/>
        </w:rPr>
        <w:fldChar w:fldCharType="end"/>
      </w:r>
      <w:r w:rsidRPr="002F7DCF">
        <w:rPr>
          <w:sz w:val="22"/>
        </w:rPr>
        <w:t xml:space="preserve"> Different</w:t>
      </w:r>
      <w:r>
        <w:rPr>
          <w:sz w:val="22"/>
        </w:rPr>
        <w:t xml:space="preserve"> PA architecture for </w:t>
      </w:r>
      <w:r w:rsidR="007661AE">
        <w:rPr>
          <w:sz w:val="22"/>
        </w:rPr>
        <w:t>non-coherent or partially coherent multiple Tx antenna UE</w:t>
      </w:r>
    </w:p>
    <w:p w14:paraId="074E7B9D" w14:textId="77777777" w:rsidR="00893AD5" w:rsidRDefault="00893AD5" w:rsidP="0026379A">
      <w:pPr>
        <w:rPr>
          <w:sz w:val="22"/>
        </w:rPr>
      </w:pPr>
    </w:p>
    <w:p w14:paraId="5DBFEDC7" w14:textId="5EF01F51" w:rsidR="007661AE" w:rsidRDefault="007661AE" w:rsidP="0026379A">
      <w:pPr>
        <w:rPr>
          <w:sz w:val="22"/>
        </w:rPr>
      </w:pPr>
      <w:r>
        <w:rPr>
          <w:sz w:val="22"/>
        </w:rPr>
        <w:t>It is clear that combinations are much more for 4 Tx antenna UE. Therefore, to support PUSCH full power transmission, the most challenging part is to support all the possible UE PA architecture</w:t>
      </w:r>
      <w:r w:rsidR="003928E4">
        <w:rPr>
          <w:sz w:val="22"/>
        </w:rPr>
        <w:t>s</w:t>
      </w:r>
    </w:p>
    <w:p w14:paraId="7E1104F6" w14:textId="6DF843EE" w:rsidR="00395317" w:rsidRDefault="00395317" w:rsidP="0026379A">
      <w:pPr>
        <w:rPr>
          <w:sz w:val="22"/>
        </w:rPr>
      </w:pPr>
    </w:p>
    <w:p w14:paraId="51E6FA5A" w14:textId="2F0E043B" w:rsidR="00395317" w:rsidRDefault="00395317" w:rsidP="00395317">
      <w:pPr>
        <w:pStyle w:val="Heading1"/>
      </w:pPr>
      <w:r>
        <w:lastRenderedPageBreak/>
        <w:t xml:space="preserve">Open Loop Beam Forming Solution for PUSCH Full Power </w:t>
      </w:r>
      <w:r w:rsidR="00E32BA8">
        <w:t>T</w:t>
      </w:r>
      <w:r>
        <w:t>ransmission</w:t>
      </w:r>
    </w:p>
    <w:p w14:paraId="390B2323" w14:textId="645D8754" w:rsidR="006961E1" w:rsidRDefault="006961E1" w:rsidP="0026379A">
      <w:pPr>
        <w:rPr>
          <w:sz w:val="22"/>
        </w:rPr>
      </w:pPr>
      <w:r>
        <w:rPr>
          <w:sz w:val="22"/>
        </w:rPr>
        <w:t>Virtual PA concept can be used to support PUSCH full power transmission. For example, 2 half rated PA  can be used as a virtual PA that is capably of full power transmission. All the open loop beam forming scheme can be used to achieve this goal.</w:t>
      </w:r>
      <w:r w:rsidR="00FB5E09">
        <w:rPr>
          <w:sz w:val="22"/>
        </w:rPr>
        <w:t xml:space="preserve"> Without going into detail, we briefly discuss some open loop beam forming schemes</w:t>
      </w:r>
    </w:p>
    <w:p w14:paraId="40336840" w14:textId="77777777" w:rsidR="006961E1" w:rsidRDefault="006961E1" w:rsidP="0026379A">
      <w:pPr>
        <w:rPr>
          <w:sz w:val="22"/>
        </w:rPr>
      </w:pPr>
    </w:p>
    <w:p w14:paraId="6E3C8EE6" w14:textId="76996838" w:rsidR="006961E1" w:rsidRPr="00EF2350" w:rsidRDefault="006961E1" w:rsidP="006961E1">
      <w:pPr>
        <w:pStyle w:val="ListParagraph"/>
        <w:numPr>
          <w:ilvl w:val="0"/>
          <w:numId w:val="21"/>
        </w:numPr>
        <w:rPr>
          <w:rFonts w:ascii="Times New Roman" w:hAnsi="Times New Roman"/>
        </w:rPr>
      </w:pPr>
      <w:r w:rsidRPr="00EF2350">
        <w:rPr>
          <w:rFonts w:ascii="Times New Roman" w:hAnsi="Times New Roman"/>
        </w:rPr>
        <w:t>Antenna switch: if UE has at least one full rate</w:t>
      </w:r>
      <w:r w:rsidR="0056415D">
        <w:rPr>
          <w:rFonts w:ascii="Times New Roman" w:hAnsi="Times New Roman"/>
        </w:rPr>
        <w:t>d</w:t>
      </w:r>
      <w:r w:rsidRPr="00EF2350">
        <w:rPr>
          <w:rFonts w:ascii="Times New Roman" w:hAnsi="Times New Roman"/>
        </w:rPr>
        <w:t xml:space="preserve"> PA, the PA can be switched between different antenna in order to support full power transmission. There could be some switching delay need</w:t>
      </w:r>
      <w:r w:rsidR="0056415D">
        <w:rPr>
          <w:rFonts w:ascii="Times New Roman" w:hAnsi="Times New Roman"/>
        </w:rPr>
        <w:t>ed</w:t>
      </w:r>
      <w:r w:rsidRPr="00EF2350">
        <w:rPr>
          <w:rFonts w:ascii="Times New Roman" w:hAnsi="Times New Roman"/>
        </w:rPr>
        <w:t>.</w:t>
      </w:r>
    </w:p>
    <w:p w14:paraId="312336F7" w14:textId="09228AFB" w:rsidR="006961E1" w:rsidRPr="00EF2350" w:rsidRDefault="006961E1" w:rsidP="006961E1">
      <w:pPr>
        <w:pStyle w:val="ListParagraph"/>
        <w:numPr>
          <w:ilvl w:val="0"/>
          <w:numId w:val="21"/>
        </w:numPr>
        <w:rPr>
          <w:rFonts w:ascii="Times New Roman" w:hAnsi="Times New Roman"/>
        </w:rPr>
      </w:pPr>
      <w:r w:rsidRPr="00EF2350">
        <w:rPr>
          <w:rFonts w:ascii="Times New Roman" w:hAnsi="Times New Roman"/>
        </w:rPr>
        <w:t xml:space="preserve">Small delay </w:t>
      </w:r>
      <w:r w:rsidR="00862593" w:rsidRPr="00EF2350">
        <w:rPr>
          <w:rFonts w:ascii="Times New Roman" w:hAnsi="Times New Roman"/>
        </w:rPr>
        <w:t>CDD: This scheme transmits the same signal from two antenna</w:t>
      </w:r>
      <w:r w:rsidR="00821A9E">
        <w:rPr>
          <w:rFonts w:ascii="Times New Roman" w:hAnsi="Times New Roman"/>
        </w:rPr>
        <w:t>s</w:t>
      </w:r>
      <w:r w:rsidR="00862593" w:rsidRPr="00EF2350">
        <w:rPr>
          <w:rFonts w:ascii="Times New Roman" w:hAnsi="Times New Roman"/>
        </w:rPr>
        <w:t xml:space="preserve"> with small delay between them. </w:t>
      </w:r>
      <w:r w:rsidR="00285338">
        <w:rPr>
          <w:rFonts w:ascii="Times New Roman" w:hAnsi="Times New Roman"/>
        </w:rPr>
        <w:t>When</w:t>
      </w:r>
      <w:r w:rsidR="00862593" w:rsidRPr="00EF2350">
        <w:rPr>
          <w:rFonts w:ascii="Times New Roman" w:hAnsi="Times New Roman"/>
        </w:rPr>
        <w:t xml:space="preserve"> delay </w:t>
      </w:r>
      <w:r w:rsidR="00285338">
        <w:rPr>
          <w:rFonts w:ascii="Times New Roman" w:hAnsi="Times New Roman"/>
        </w:rPr>
        <w:t xml:space="preserve">is </w:t>
      </w:r>
      <w:r w:rsidR="00862593" w:rsidRPr="00EF2350">
        <w:rPr>
          <w:rFonts w:ascii="Times New Roman" w:hAnsi="Times New Roman"/>
        </w:rPr>
        <w:t xml:space="preserve">properly chosen, this scheme can provide even better performance due to diversity gain. </w:t>
      </w:r>
    </w:p>
    <w:p w14:paraId="7651397A" w14:textId="58425B75" w:rsidR="00AB2153" w:rsidRPr="00EF2350" w:rsidRDefault="00862593" w:rsidP="006961E1">
      <w:pPr>
        <w:pStyle w:val="ListParagraph"/>
        <w:numPr>
          <w:ilvl w:val="0"/>
          <w:numId w:val="21"/>
        </w:numPr>
        <w:rPr>
          <w:rFonts w:ascii="Times New Roman" w:hAnsi="Times New Roman"/>
        </w:rPr>
      </w:pPr>
      <w:r w:rsidRPr="00EF2350">
        <w:rPr>
          <w:rFonts w:ascii="Times New Roman" w:hAnsi="Times New Roman"/>
        </w:rPr>
        <w:t>Open loop beamforming or precod</w:t>
      </w:r>
      <w:r w:rsidR="005A06D9">
        <w:rPr>
          <w:rFonts w:ascii="Times New Roman" w:hAnsi="Times New Roman"/>
        </w:rPr>
        <w:t>er</w:t>
      </w:r>
      <w:r w:rsidRPr="00EF2350">
        <w:rPr>
          <w:rFonts w:ascii="Times New Roman" w:hAnsi="Times New Roman"/>
        </w:rPr>
        <w:t xml:space="preserve"> cycling</w:t>
      </w:r>
      <w:r w:rsidR="006961E1" w:rsidRPr="00EF2350">
        <w:rPr>
          <w:rFonts w:ascii="Times New Roman" w:hAnsi="Times New Roman"/>
        </w:rPr>
        <w:t xml:space="preserve">: </w:t>
      </w:r>
      <w:r w:rsidR="006B7B16" w:rsidRPr="00EF2350">
        <w:rPr>
          <w:rFonts w:ascii="Times New Roman" w:hAnsi="Times New Roman"/>
        </w:rPr>
        <w:t xml:space="preserve">This scheme transmits the same signal from two </w:t>
      </w:r>
      <w:r w:rsidR="00AB2153" w:rsidRPr="00EF2350">
        <w:rPr>
          <w:rFonts w:ascii="Times New Roman" w:hAnsi="Times New Roman"/>
        </w:rPr>
        <w:t>antennas with precoding. The precoder can be adapted open-looply in order to improve performance. Precod</w:t>
      </w:r>
      <w:r w:rsidR="00E02F9E">
        <w:rPr>
          <w:rFonts w:ascii="Times New Roman" w:hAnsi="Times New Roman"/>
        </w:rPr>
        <w:t>er</w:t>
      </w:r>
      <w:r w:rsidR="00AB2153" w:rsidRPr="00EF2350">
        <w:rPr>
          <w:rFonts w:ascii="Times New Roman" w:hAnsi="Times New Roman"/>
        </w:rPr>
        <w:t xml:space="preserve"> cycling can also be </w:t>
      </w:r>
      <w:r w:rsidR="00177DBF">
        <w:rPr>
          <w:rFonts w:ascii="Times New Roman" w:hAnsi="Times New Roman"/>
        </w:rPr>
        <w:t>u</w:t>
      </w:r>
      <w:r w:rsidR="00941EAC">
        <w:rPr>
          <w:rFonts w:ascii="Times New Roman" w:hAnsi="Times New Roman"/>
        </w:rPr>
        <w:t>s</w:t>
      </w:r>
      <w:r w:rsidR="00177DBF">
        <w:rPr>
          <w:rFonts w:ascii="Times New Roman" w:hAnsi="Times New Roman"/>
        </w:rPr>
        <w:t>ed</w:t>
      </w:r>
      <w:r w:rsidR="00AB2153" w:rsidRPr="00EF2350">
        <w:rPr>
          <w:rFonts w:ascii="Times New Roman" w:hAnsi="Times New Roman"/>
        </w:rPr>
        <w:t xml:space="preserve"> in time domain in order to improve diversity. </w:t>
      </w:r>
    </w:p>
    <w:p w14:paraId="1F5A5AD5" w14:textId="27297C74" w:rsidR="004756D0" w:rsidRDefault="00E173FA" w:rsidP="006961E1">
      <w:pPr>
        <w:pStyle w:val="ListParagraph"/>
        <w:numPr>
          <w:ilvl w:val="0"/>
          <w:numId w:val="21"/>
        </w:numPr>
        <w:rPr>
          <w:rFonts w:ascii="Times New Roman" w:hAnsi="Times New Roman"/>
        </w:rPr>
      </w:pPr>
      <w:r>
        <w:rPr>
          <w:rFonts w:ascii="Times New Roman" w:hAnsi="Times New Roman"/>
        </w:rPr>
        <w:t xml:space="preserve">Space time coding: Space time code such as Alamouti scheme allows the signal to be transmitted from two antennas without the knowledge of channel at the transmitter. However, </w:t>
      </w:r>
      <w:r w:rsidR="004756D0">
        <w:rPr>
          <w:rFonts w:ascii="Times New Roman" w:hAnsi="Times New Roman"/>
        </w:rPr>
        <w:t>this scheme is not transparent as small delay CDD or open loop precoding. Space time code requires the receiver to process the received signal jointly in order to recover the transmitted data. It also requires the receiver to estimate multiple channels. Space time code is not part of NR-15 NR, unlike UMTS and LTE.</w:t>
      </w:r>
    </w:p>
    <w:p w14:paraId="4118B733" w14:textId="77777777" w:rsidR="001264CE" w:rsidRDefault="001264CE" w:rsidP="0026379A">
      <w:pPr>
        <w:rPr>
          <w:sz w:val="22"/>
        </w:rPr>
      </w:pPr>
    </w:p>
    <w:p w14:paraId="5EE3526B" w14:textId="43BB8EF3" w:rsidR="001264CE" w:rsidRDefault="00EF2350" w:rsidP="0026379A">
      <w:pPr>
        <w:rPr>
          <w:sz w:val="22"/>
        </w:rPr>
      </w:pPr>
      <w:r>
        <w:rPr>
          <w:sz w:val="22"/>
        </w:rPr>
        <w:t>Based on the above discussion, it is reasonable to say that signal processing technique</w:t>
      </w:r>
      <w:r w:rsidR="00431D93">
        <w:rPr>
          <w:sz w:val="22"/>
        </w:rPr>
        <w:t>s</w:t>
      </w:r>
      <w:r>
        <w:rPr>
          <w:sz w:val="22"/>
        </w:rPr>
        <w:t xml:space="preserve"> already allow UE to support full power PUSCH transmission with open loop beam forming schemes. However, we think </w:t>
      </w:r>
      <w:r w:rsidR="003F33BC">
        <w:rPr>
          <w:sz w:val="22"/>
        </w:rPr>
        <w:t>further</w:t>
      </w:r>
      <w:r>
        <w:rPr>
          <w:sz w:val="22"/>
        </w:rPr>
        <w:t xml:space="preserve"> enhancement such as PHR reporting can be studied in the current Rel-16 MIMO enhancement WI. </w:t>
      </w:r>
    </w:p>
    <w:p w14:paraId="39A4D1CB" w14:textId="77777777" w:rsidR="008F0292" w:rsidRDefault="008F0292" w:rsidP="0026379A">
      <w:pPr>
        <w:rPr>
          <w:sz w:val="22"/>
        </w:rPr>
      </w:pPr>
    </w:p>
    <w:p w14:paraId="3122B473" w14:textId="3C16E2DB" w:rsidR="000F1010" w:rsidRDefault="000F1010" w:rsidP="000F1010">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w:t>
      </w:r>
      <w:r w:rsidR="00EF2350">
        <w:rPr>
          <w:rFonts w:eastAsia="SimSun"/>
          <w:b/>
          <w:i/>
          <w:sz w:val="22"/>
          <w:szCs w:val="22"/>
        </w:rPr>
        <w:t xml:space="preserve">PUSCH full power transmission, </w:t>
      </w:r>
      <w:r w:rsidR="00EF2350" w:rsidRPr="00EF2350">
        <w:rPr>
          <w:rFonts w:eastAsia="SimSun"/>
          <w:b/>
          <w:i/>
          <w:sz w:val="22"/>
          <w:szCs w:val="22"/>
        </w:rPr>
        <w:t>Option 4</w:t>
      </w:r>
      <w:r w:rsidR="00EF2350">
        <w:rPr>
          <w:rFonts w:eastAsia="SimSun"/>
          <w:b/>
          <w:i/>
          <w:sz w:val="22"/>
          <w:szCs w:val="22"/>
        </w:rPr>
        <w:t xml:space="preserve"> (</w:t>
      </w:r>
      <w:r w:rsidR="00EF2350" w:rsidRPr="00EF2350">
        <w:rPr>
          <w:rFonts w:eastAsia="SimSun"/>
          <w:b/>
          <w:i/>
          <w:sz w:val="22"/>
          <w:szCs w:val="22"/>
        </w:rPr>
        <w:t>Up to UE implementation</w:t>
      </w:r>
      <w:r w:rsidR="00EF2350">
        <w:rPr>
          <w:rFonts w:eastAsia="SimSun"/>
          <w:b/>
          <w:i/>
          <w:sz w:val="22"/>
          <w:szCs w:val="22"/>
        </w:rPr>
        <w:t xml:space="preserve">) should be agreed. Further </w:t>
      </w:r>
      <w:r w:rsidR="00EF2350" w:rsidRPr="00EF2350">
        <w:rPr>
          <w:rFonts w:eastAsia="SimSun"/>
          <w:b/>
          <w:i/>
          <w:sz w:val="22"/>
          <w:szCs w:val="22"/>
        </w:rPr>
        <w:t xml:space="preserve">enhancement such as PHR reporting can be </w:t>
      </w:r>
      <w:r w:rsidR="00EF2350">
        <w:rPr>
          <w:rFonts w:eastAsia="SimSun"/>
          <w:b/>
          <w:i/>
          <w:sz w:val="22"/>
          <w:szCs w:val="22"/>
        </w:rPr>
        <w:t xml:space="preserve">studied </w:t>
      </w:r>
    </w:p>
    <w:p w14:paraId="78915041" w14:textId="77777777" w:rsidR="000F1010" w:rsidRDefault="000F1010" w:rsidP="0026379A">
      <w:pPr>
        <w:rPr>
          <w:sz w:val="22"/>
        </w:rPr>
      </w:pPr>
    </w:p>
    <w:p w14:paraId="2896E657" w14:textId="2DF29AD0" w:rsidR="00854A60" w:rsidRPr="00FB330B" w:rsidRDefault="009C5A97" w:rsidP="00FB330B">
      <w:pPr>
        <w:pStyle w:val="Heading1"/>
      </w:pPr>
      <w:r w:rsidRPr="00FB330B">
        <w:t>Conclusion</w:t>
      </w:r>
    </w:p>
    <w:p w14:paraId="56311B75" w14:textId="70E7164A" w:rsidR="00E32950" w:rsidRDefault="00F43354" w:rsidP="00B95ECC">
      <w:pPr>
        <w:jc w:val="both"/>
        <w:rPr>
          <w:rFonts w:eastAsia="MS Mincho"/>
          <w:sz w:val="22"/>
          <w:szCs w:val="22"/>
          <w:lang w:eastAsia="ja-JP"/>
        </w:rPr>
      </w:pPr>
      <w:r>
        <w:rPr>
          <w:rFonts w:eastAsia="MS Mincho"/>
          <w:sz w:val="22"/>
          <w:szCs w:val="22"/>
          <w:lang w:eastAsia="ja-JP"/>
        </w:rPr>
        <w:t xml:space="preserve">In this contribution, </w:t>
      </w:r>
      <w:r w:rsidR="00075AB6">
        <w:rPr>
          <w:rFonts w:eastAsia="MS Mincho"/>
          <w:sz w:val="22"/>
          <w:szCs w:val="22"/>
          <w:lang w:eastAsia="ja-JP"/>
        </w:rPr>
        <w:t xml:space="preserve">we discuss the </w:t>
      </w:r>
      <w:r w:rsidR="00B95ECC">
        <w:rPr>
          <w:rFonts w:eastAsia="MS Mincho"/>
          <w:sz w:val="22"/>
          <w:szCs w:val="22"/>
          <w:lang w:eastAsia="ja-JP"/>
        </w:rPr>
        <w:t xml:space="preserve">support </w:t>
      </w:r>
      <w:r w:rsidR="003C08B3">
        <w:rPr>
          <w:rFonts w:eastAsia="MS Mincho"/>
          <w:sz w:val="22"/>
          <w:szCs w:val="22"/>
          <w:lang w:eastAsia="ja-JP"/>
        </w:rPr>
        <w:t xml:space="preserve">of </w:t>
      </w:r>
      <w:r w:rsidR="00B95ECC">
        <w:rPr>
          <w:rFonts w:eastAsia="MS Mincho"/>
          <w:sz w:val="22"/>
          <w:szCs w:val="22"/>
          <w:lang w:eastAsia="ja-JP"/>
        </w:rPr>
        <w:t xml:space="preserve">full power PUSCH transmission as part of Rel-16 MIMO enhancement WI. </w:t>
      </w:r>
      <w:r w:rsidR="003031F8">
        <w:rPr>
          <w:rFonts w:eastAsia="MS Mincho"/>
          <w:sz w:val="22"/>
          <w:szCs w:val="22"/>
          <w:lang w:eastAsia="ja-JP"/>
        </w:rPr>
        <w:t xml:space="preserve">We have the following </w:t>
      </w:r>
      <w:r w:rsidR="00532096">
        <w:rPr>
          <w:rFonts w:eastAsia="MS Mincho"/>
          <w:sz w:val="22"/>
          <w:szCs w:val="22"/>
          <w:lang w:eastAsia="ja-JP"/>
        </w:rPr>
        <w:t>prop</w:t>
      </w:r>
      <w:r w:rsidR="00890DC7">
        <w:rPr>
          <w:rFonts w:eastAsia="MS Mincho"/>
          <w:sz w:val="22"/>
          <w:szCs w:val="22"/>
          <w:lang w:eastAsia="ja-JP"/>
        </w:rPr>
        <w:t>o</w:t>
      </w:r>
      <w:r w:rsidR="00532096">
        <w:rPr>
          <w:rFonts w:eastAsia="MS Mincho"/>
          <w:sz w:val="22"/>
          <w:szCs w:val="22"/>
          <w:lang w:eastAsia="ja-JP"/>
        </w:rPr>
        <w:t>sals</w:t>
      </w:r>
    </w:p>
    <w:p w14:paraId="2B40B6EF" w14:textId="77777777" w:rsidR="00EC2CE4" w:rsidRDefault="00EC2CE4" w:rsidP="00854A60">
      <w:pPr>
        <w:rPr>
          <w:sz w:val="20"/>
          <w:szCs w:val="20"/>
        </w:rPr>
      </w:pPr>
    </w:p>
    <w:p w14:paraId="246F1023" w14:textId="77777777" w:rsidR="00B95ECC" w:rsidRDefault="00B95ECC" w:rsidP="00B95ECC">
      <w:pPr>
        <w:rPr>
          <w:rFonts w:eastAsia="SimSun"/>
          <w:b/>
          <w:i/>
          <w:sz w:val="22"/>
          <w:szCs w:val="22"/>
        </w:rPr>
      </w:pPr>
      <w:r>
        <w:rPr>
          <w:rFonts w:eastAsia="SimSun"/>
          <w:b/>
          <w:bCs/>
          <w:i/>
          <w:sz w:val="22"/>
          <w:szCs w:val="22"/>
          <w:u w:val="single"/>
        </w:rPr>
        <w:t>Proposal 1</w:t>
      </w:r>
      <w:r w:rsidRPr="00CD41CD">
        <w:rPr>
          <w:rFonts w:eastAsia="SimSun"/>
          <w:bCs/>
          <w:i/>
          <w:szCs w:val="22"/>
        </w:rPr>
        <w:t xml:space="preserve">: </w:t>
      </w:r>
      <w:r>
        <w:rPr>
          <w:rFonts w:eastAsia="SimSun"/>
          <w:b/>
          <w:i/>
          <w:sz w:val="22"/>
          <w:szCs w:val="22"/>
        </w:rPr>
        <w:t xml:space="preserve">To support PUSCH full power transmission, </w:t>
      </w:r>
      <w:r w:rsidRPr="00EF2350">
        <w:rPr>
          <w:rFonts w:eastAsia="SimSun"/>
          <w:b/>
          <w:i/>
          <w:sz w:val="22"/>
          <w:szCs w:val="22"/>
        </w:rPr>
        <w:t>Option 4</w:t>
      </w:r>
      <w:r>
        <w:rPr>
          <w:rFonts w:eastAsia="SimSun"/>
          <w:b/>
          <w:i/>
          <w:sz w:val="22"/>
          <w:szCs w:val="22"/>
        </w:rPr>
        <w:t xml:space="preserve"> (</w:t>
      </w:r>
      <w:r w:rsidRPr="00EF2350">
        <w:rPr>
          <w:rFonts w:eastAsia="SimSun"/>
          <w:b/>
          <w:i/>
          <w:sz w:val="22"/>
          <w:szCs w:val="22"/>
        </w:rPr>
        <w:t>Up to UE implementation</w:t>
      </w:r>
      <w:r>
        <w:rPr>
          <w:rFonts w:eastAsia="SimSun"/>
          <w:b/>
          <w:i/>
          <w:sz w:val="22"/>
          <w:szCs w:val="22"/>
        </w:rPr>
        <w:t xml:space="preserve">) should be agreed. Further </w:t>
      </w:r>
      <w:r w:rsidRPr="00EF2350">
        <w:rPr>
          <w:rFonts w:eastAsia="SimSun"/>
          <w:b/>
          <w:i/>
          <w:sz w:val="22"/>
          <w:szCs w:val="22"/>
        </w:rPr>
        <w:t xml:space="preserve">enhancement such as PHR reporting can be </w:t>
      </w:r>
      <w:r>
        <w:rPr>
          <w:rFonts w:eastAsia="SimSun"/>
          <w:b/>
          <w:i/>
          <w:sz w:val="22"/>
          <w:szCs w:val="22"/>
        </w:rPr>
        <w:t xml:space="preserve">studied </w:t>
      </w:r>
    </w:p>
    <w:p w14:paraId="2E75F001" w14:textId="77777777" w:rsidR="007E70BB" w:rsidRPr="007E70BB" w:rsidRDefault="005C63AE" w:rsidP="007E70BB">
      <w:pPr>
        <w:pStyle w:val="Heading1"/>
      </w:pPr>
      <w:r>
        <w:t>References</w:t>
      </w:r>
    </w:p>
    <w:p w14:paraId="40D2C8B7" w14:textId="77777777" w:rsidR="00FB0FBE" w:rsidRDefault="0037493F"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1"/>
    </w:p>
    <w:p w14:paraId="54F6E2C0" w14:textId="2276C0E5" w:rsidR="00825B95" w:rsidRPr="00FB0FBE" w:rsidRDefault="00AA405C" w:rsidP="00FB0FB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B0FBE">
        <w:rPr>
          <w:sz w:val="22"/>
          <w:szCs w:val="22"/>
        </w:rPr>
        <w:t xml:space="preserve">Chairman notes, </w:t>
      </w:r>
      <w:r w:rsidR="00FB0FBE" w:rsidRPr="00FB0FBE">
        <w:rPr>
          <w:sz w:val="22"/>
          <w:szCs w:val="22"/>
        </w:rPr>
        <w:t>3GPP TSG RAN WG1 Meeting #94bis</w:t>
      </w:r>
      <w:r w:rsidR="00FB0FBE" w:rsidRPr="00FB0FBE">
        <w:rPr>
          <w:sz w:val="22"/>
          <w:szCs w:val="22"/>
        </w:rPr>
        <w:tab/>
        <w:t>Chengdu, China, October 8th – 12th, 2018</w:t>
      </w:r>
    </w:p>
    <w:sectPr w:rsidR="00825B95" w:rsidRPr="00FB0FBE"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7AEB9" w14:textId="77777777" w:rsidR="00247E23" w:rsidRDefault="00247E23">
      <w:r>
        <w:separator/>
      </w:r>
    </w:p>
  </w:endnote>
  <w:endnote w:type="continuationSeparator" w:id="0">
    <w:p w14:paraId="2E15C242" w14:textId="77777777" w:rsidR="00247E23" w:rsidRDefault="00247E23">
      <w:r>
        <w:continuationSeparator/>
      </w:r>
    </w:p>
  </w:endnote>
  <w:endnote w:type="continuationNotice" w:id="1">
    <w:p w14:paraId="4F22863A" w14:textId="77777777" w:rsidR="00247E23" w:rsidRDefault="00247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EB482" w14:textId="77777777" w:rsidR="00247E23" w:rsidRDefault="00247E23">
      <w:r>
        <w:separator/>
      </w:r>
    </w:p>
  </w:footnote>
  <w:footnote w:type="continuationSeparator" w:id="0">
    <w:p w14:paraId="5F479F43" w14:textId="77777777" w:rsidR="00247E23" w:rsidRDefault="00247E23">
      <w:r>
        <w:continuationSeparator/>
      </w:r>
    </w:p>
  </w:footnote>
  <w:footnote w:type="continuationNotice" w:id="1">
    <w:p w14:paraId="2A960D78" w14:textId="77777777" w:rsidR="00247E23" w:rsidRDefault="00247E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D9A484A"/>
    <w:multiLevelType w:val="hybridMultilevel"/>
    <w:tmpl w:val="1F26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0"/>
  </w:num>
  <w:num w:numId="11">
    <w:abstractNumId w:val="10"/>
  </w:num>
  <w:num w:numId="12">
    <w:abstractNumId w:val="5"/>
  </w:num>
  <w:num w:numId="13">
    <w:abstractNumId w:val="18"/>
  </w:num>
  <w:num w:numId="14">
    <w:abstractNumId w:val="20"/>
  </w:num>
  <w:num w:numId="15">
    <w:abstractNumId w:val="15"/>
  </w:num>
  <w:num w:numId="16">
    <w:abstractNumId w:val="13"/>
  </w:num>
  <w:num w:numId="17">
    <w:abstractNumId w:val="2"/>
  </w:num>
  <w:num w:numId="18">
    <w:abstractNumId w:val="17"/>
  </w:num>
  <w:num w:numId="19">
    <w:abstractNumId w:val="4"/>
  </w:num>
  <w:num w:numId="20">
    <w:abstractNumId w:val="19"/>
  </w:num>
  <w:num w:numId="21">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2"/>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446"/>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3408"/>
    <w:rsid w:val="000243BF"/>
    <w:rsid w:val="00024A45"/>
    <w:rsid w:val="0002564D"/>
    <w:rsid w:val="00025AC4"/>
    <w:rsid w:val="00025BF3"/>
    <w:rsid w:val="00025E2F"/>
    <w:rsid w:val="00025ECA"/>
    <w:rsid w:val="000267A1"/>
    <w:rsid w:val="00026C10"/>
    <w:rsid w:val="00027218"/>
    <w:rsid w:val="00027939"/>
    <w:rsid w:val="00027988"/>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A0A"/>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A54"/>
    <w:rsid w:val="0013216D"/>
    <w:rsid w:val="00132225"/>
    <w:rsid w:val="00132312"/>
    <w:rsid w:val="00132A13"/>
    <w:rsid w:val="00132FD0"/>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5D6"/>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BC3"/>
    <w:rsid w:val="00157B9D"/>
    <w:rsid w:val="0016002E"/>
    <w:rsid w:val="00160069"/>
    <w:rsid w:val="001600EE"/>
    <w:rsid w:val="00160C36"/>
    <w:rsid w:val="001610B1"/>
    <w:rsid w:val="001621FB"/>
    <w:rsid w:val="001622D5"/>
    <w:rsid w:val="00163038"/>
    <w:rsid w:val="001643A8"/>
    <w:rsid w:val="001644AA"/>
    <w:rsid w:val="00164617"/>
    <w:rsid w:val="00164D7A"/>
    <w:rsid w:val="00164EB3"/>
    <w:rsid w:val="001658F5"/>
    <w:rsid w:val="001659C1"/>
    <w:rsid w:val="00165BF9"/>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795"/>
    <w:rsid w:val="00177DBF"/>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522"/>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A58"/>
    <w:rsid w:val="001E2DB2"/>
    <w:rsid w:val="001E41F8"/>
    <w:rsid w:val="001E44E6"/>
    <w:rsid w:val="001E58DD"/>
    <w:rsid w:val="001E58E2"/>
    <w:rsid w:val="001E6091"/>
    <w:rsid w:val="001E60EE"/>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7C40"/>
    <w:rsid w:val="00247E23"/>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338"/>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2F7DCF"/>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3A4"/>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1E8"/>
    <w:rsid w:val="003807F1"/>
    <w:rsid w:val="003815BB"/>
    <w:rsid w:val="0038168D"/>
    <w:rsid w:val="00382541"/>
    <w:rsid w:val="00383C13"/>
    <w:rsid w:val="00384372"/>
    <w:rsid w:val="00384F45"/>
    <w:rsid w:val="0038531D"/>
    <w:rsid w:val="00385BF0"/>
    <w:rsid w:val="0038648C"/>
    <w:rsid w:val="003865FE"/>
    <w:rsid w:val="00386C8D"/>
    <w:rsid w:val="003874BE"/>
    <w:rsid w:val="003879D8"/>
    <w:rsid w:val="00387E49"/>
    <w:rsid w:val="00390359"/>
    <w:rsid w:val="003915EB"/>
    <w:rsid w:val="003928E4"/>
    <w:rsid w:val="00392E94"/>
    <w:rsid w:val="0039320A"/>
    <w:rsid w:val="0039386A"/>
    <w:rsid w:val="003939FF"/>
    <w:rsid w:val="00393BCB"/>
    <w:rsid w:val="00394001"/>
    <w:rsid w:val="0039438D"/>
    <w:rsid w:val="00395165"/>
    <w:rsid w:val="00395317"/>
    <w:rsid w:val="00396685"/>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08B3"/>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AC6"/>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3BC"/>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93"/>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538"/>
    <w:rsid w:val="00467930"/>
    <w:rsid w:val="00467DF2"/>
    <w:rsid w:val="00470C31"/>
    <w:rsid w:val="00470C4F"/>
    <w:rsid w:val="004719C3"/>
    <w:rsid w:val="00472D9C"/>
    <w:rsid w:val="004734D0"/>
    <w:rsid w:val="004737F0"/>
    <w:rsid w:val="00473C75"/>
    <w:rsid w:val="00474096"/>
    <w:rsid w:val="004744C0"/>
    <w:rsid w:val="0047525B"/>
    <w:rsid w:val="0047556B"/>
    <w:rsid w:val="004756D0"/>
    <w:rsid w:val="00475C6C"/>
    <w:rsid w:val="0047631A"/>
    <w:rsid w:val="004765C1"/>
    <w:rsid w:val="00476929"/>
    <w:rsid w:val="00477768"/>
    <w:rsid w:val="004778F1"/>
    <w:rsid w:val="004808FD"/>
    <w:rsid w:val="004821D5"/>
    <w:rsid w:val="004824B0"/>
    <w:rsid w:val="00482AAD"/>
    <w:rsid w:val="00483127"/>
    <w:rsid w:val="004843B1"/>
    <w:rsid w:val="00484649"/>
    <w:rsid w:val="00484CFB"/>
    <w:rsid w:val="004853CE"/>
    <w:rsid w:val="00485A5D"/>
    <w:rsid w:val="0048618E"/>
    <w:rsid w:val="004865E7"/>
    <w:rsid w:val="00487488"/>
    <w:rsid w:val="004877E2"/>
    <w:rsid w:val="00487AE0"/>
    <w:rsid w:val="00490604"/>
    <w:rsid w:val="00492BC5"/>
    <w:rsid w:val="004933EA"/>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01F"/>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11"/>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575A"/>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15D"/>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6D9"/>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F83"/>
    <w:rsid w:val="005C0907"/>
    <w:rsid w:val="005C1126"/>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95"/>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07F4D"/>
    <w:rsid w:val="00610361"/>
    <w:rsid w:val="00610417"/>
    <w:rsid w:val="00610612"/>
    <w:rsid w:val="00610A0E"/>
    <w:rsid w:val="00611556"/>
    <w:rsid w:val="00611A89"/>
    <w:rsid w:val="00611B83"/>
    <w:rsid w:val="0061206D"/>
    <w:rsid w:val="00612756"/>
    <w:rsid w:val="00612775"/>
    <w:rsid w:val="00613257"/>
    <w:rsid w:val="00613299"/>
    <w:rsid w:val="006137D4"/>
    <w:rsid w:val="00613A70"/>
    <w:rsid w:val="0061569B"/>
    <w:rsid w:val="00615721"/>
    <w:rsid w:val="00616485"/>
    <w:rsid w:val="006169D7"/>
    <w:rsid w:val="006175CD"/>
    <w:rsid w:val="006209CF"/>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854"/>
    <w:rsid w:val="00684B5D"/>
    <w:rsid w:val="00684D0F"/>
    <w:rsid w:val="00684D7B"/>
    <w:rsid w:val="00685459"/>
    <w:rsid w:val="00685D9C"/>
    <w:rsid w:val="00686BEA"/>
    <w:rsid w:val="006874FF"/>
    <w:rsid w:val="00691D35"/>
    <w:rsid w:val="00692288"/>
    <w:rsid w:val="00692947"/>
    <w:rsid w:val="00693420"/>
    <w:rsid w:val="00693EE0"/>
    <w:rsid w:val="00694CE9"/>
    <w:rsid w:val="0069511A"/>
    <w:rsid w:val="006956A6"/>
    <w:rsid w:val="00695BA8"/>
    <w:rsid w:val="00695FC2"/>
    <w:rsid w:val="0069601D"/>
    <w:rsid w:val="006961E1"/>
    <w:rsid w:val="00696949"/>
    <w:rsid w:val="00697052"/>
    <w:rsid w:val="00697951"/>
    <w:rsid w:val="00697BAE"/>
    <w:rsid w:val="006A0A9A"/>
    <w:rsid w:val="006A1AF7"/>
    <w:rsid w:val="006A1E84"/>
    <w:rsid w:val="006A2039"/>
    <w:rsid w:val="006A27A1"/>
    <w:rsid w:val="006A282A"/>
    <w:rsid w:val="006A3A20"/>
    <w:rsid w:val="006A4602"/>
    <w:rsid w:val="006A46FB"/>
    <w:rsid w:val="006A5808"/>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B16"/>
    <w:rsid w:val="006B7ED0"/>
    <w:rsid w:val="006C0238"/>
    <w:rsid w:val="006C03B8"/>
    <w:rsid w:val="006C100F"/>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664"/>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7B5"/>
    <w:rsid w:val="00705A56"/>
    <w:rsid w:val="00705ABE"/>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67E"/>
    <w:rsid w:val="0075190A"/>
    <w:rsid w:val="00752885"/>
    <w:rsid w:val="007529C3"/>
    <w:rsid w:val="00753850"/>
    <w:rsid w:val="00754966"/>
    <w:rsid w:val="00754C5E"/>
    <w:rsid w:val="007550D0"/>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73C"/>
    <w:rsid w:val="00764FBD"/>
    <w:rsid w:val="00765281"/>
    <w:rsid w:val="00765381"/>
    <w:rsid w:val="007658A5"/>
    <w:rsid w:val="00765AEE"/>
    <w:rsid w:val="00765B0D"/>
    <w:rsid w:val="00765BBF"/>
    <w:rsid w:val="007661AE"/>
    <w:rsid w:val="007662AD"/>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6C6B"/>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D7B67"/>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A9E"/>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E80"/>
    <w:rsid w:val="00845A39"/>
    <w:rsid w:val="00845B06"/>
    <w:rsid w:val="00845E7D"/>
    <w:rsid w:val="00846FE7"/>
    <w:rsid w:val="00847424"/>
    <w:rsid w:val="00847574"/>
    <w:rsid w:val="0084761B"/>
    <w:rsid w:val="008477CD"/>
    <w:rsid w:val="008479B5"/>
    <w:rsid w:val="00847E30"/>
    <w:rsid w:val="00850CEC"/>
    <w:rsid w:val="00852C9F"/>
    <w:rsid w:val="00853A64"/>
    <w:rsid w:val="00854A60"/>
    <w:rsid w:val="0085554C"/>
    <w:rsid w:val="00855B06"/>
    <w:rsid w:val="0085626F"/>
    <w:rsid w:val="00856911"/>
    <w:rsid w:val="00856917"/>
    <w:rsid w:val="00856B1D"/>
    <w:rsid w:val="00856BA4"/>
    <w:rsid w:val="00857C3A"/>
    <w:rsid w:val="00857E8D"/>
    <w:rsid w:val="00857F60"/>
    <w:rsid w:val="00862397"/>
    <w:rsid w:val="0086251D"/>
    <w:rsid w:val="00862593"/>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2E0F"/>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2215"/>
    <w:rsid w:val="008926DE"/>
    <w:rsid w:val="00892722"/>
    <w:rsid w:val="00892DD2"/>
    <w:rsid w:val="00892E4B"/>
    <w:rsid w:val="00893AD5"/>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C20"/>
    <w:rsid w:val="008A21F2"/>
    <w:rsid w:val="008A21FF"/>
    <w:rsid w:val="008A2857"/>
    <w:rsid w:val="008A2CE2"/>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DFF"/>
    <w:rsid w:val="00940E12"/>
    <w:rsid w:val="009411FC"/>
    <w:rsid w:val="00941636"/>
    <w:rsid w:val="00941B38"/>
    <w:rsid w:val="00941D93"/>
    <w:rsid w:val="00941EAC"/>
    <w:rsid w:val="009424D7"/>
    <w:rsid w:val="00943742"/>
    <w:rsid w:val="00943820"/>
    <w:rsid w:val="00943A7D"/>
    <w:rsid w:val="00943CC2"/>
    <w:rsid w:val="00944231"/>
    <w:rsid w:val="00944BC4"/>
    <w:rsid w:val="00945497"/>
    <w:rsid w:val="009455FC"/>
    <w:rsid w:val="00945C05"/>
    <w:rsid w:val="00945C1F"/>
    <w:rsid w:val="009460AC"/>
    <w:rsid w:val="00946230"/>
    <w:rsid w:val="00946676"/>
    <w:rsid w:val="00946945"/>
    <w:rsid w:val="009469F8"/>
    <w:rsid w:val="009476DE"/>
    <w:rsid w:val="00947713"/>
    <w:rsid w:val="00950BC2"/>
    <w:rsid w:val="00950DE7"/>
    <w:rsid w:val="00951151"/>
    <w:rsid w:val="0095181E"/>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2C3"/>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AF3"/>
    <w:rsid w:val="00A16CCA"/>
    <w:rsid w:val="00A171D3"/>
    <w:rsid w:val="00A17EBF"/>
    <w:rsid w:val="00A17F63"/>
    <w:rsid w:val="00A20373"/>
    <w:rsid w:val="00A20379"/>
    <w:rsid w:val="00A20E07"/>
    <w:rsid w:val="00A2193B"/>
    <w:rsid w:val="00A2279A"/>
    <w:rsid w:val="00A2351A"/>
    <w:rsid w:val="00A23801"/>
    <w:rsid w:val="00A23F02"/>
    <w:rsid w:val="00A23FCF"/>
    <w:rsid w:val="00A241CC"/>
    <w:rsid w:val="00A2474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6CE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7DA"/>
    <w:rsid w:val="00A72CAF"/>
    <w:rsid w:val="00A730C4"/>
    <w:rsid w:val="00A733D2"/>
    <w:rsid w:val="00A739D0"/>
    <w:rsid w:val="00A73A0D"/>
    <w:rsid w:val="00A73B9B"/>
    <w:rsid w:val="00A75D39"/>
    <w:rsid w:val="00A761D4"/>
    <w:rsid w:val="00A76DBB"/>
    <w:rsid w:val="00A7706C"/>
    <w:rsid w:val="00A77EC4"/>
    <w:rsid w:val="00A80045"/>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4F8"/>
    <w:rsid w:val="00AB08B1"/>
    <w:rsid w:val="00AB0BC8"/>
    <w:rsid w:val="00AB0DE4"/>
    <w:rsid w:val="00AB11CA"/>
    <w:rsid w:val="00AB1303"/>
    <w:rsid w:val="00AB14D9"/>
    <w:rsid w:val="00AB1F9E"/>
    <w:rsid w:val="00AB2153"/>
    <w:rsid w:val="00AB2F6B"/>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4C15"/>
    <w:rsid w:val="00AD51ED"/>
    <w:rsid w:val="00AD58C1"/>
    <w:rsid w:val="00AD59E2"/>
    <w:rsid w:val="00AD5F22"/>
    <w:rsid w:val="00AD62BC"/>
    <w:rsid w:val="00AD6629"/>
    <w:rsid w:val="00AD71EA"/>
    <w:rsid w:val="00AD7C52"/>
    <w:rsid w:val="00AE0470"/>
    <w:rsid w:val="00AE07E6"/>
    <w:rsid w:val="00AE098D"/>
    <w:rsid w:val="00AE0B14"/>
    <w:rsid w:val="00AE0C21"/>
    <w:rsid w:val="00AE23EE"/>
    <w:rsid w:val="00AE2540"/>
    <w:rsid w:val="00AE27AC"/>
    <w:rsid w:val="00AE33F2"/>
    <w:rsid w:val="00AE3981"/>
    <w:rsid w:val="00AE3BE3"/>
    <w:rsid w:val="00AE3CC3"/>
    <w:rsid w:val="00AE3E93"/>
    <w:rsid w:val="00AE40E0"/>
    <w:rsid w:val="00AE4D2F"/>
    <w:rsid w:val="00AE4DBA"/>
    <w:rsid w:val="00AE4F07"/>
    <w:rsid w:val="00AE57B5"/>
    <w:rsid w:val="00AE6E02"/>
    <w:rsid w:val="00AE743A"/>
    <w:rsid w:val="00AF08CA"/>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89F"/>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5ECC"/>
    <w:rsid w:val="00B964AB"/>
    <w:rsid w:val="00B96A6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2A2"/>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206F"/>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4C49"/>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5447"/>
    <w:rsid w:val="00C35564"/>
    <w:rsid w:val="00C35983"/>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46A"/>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58E"/>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4E2B"/>
    <w:rsid w:val="00CA5093"/>
    <w:rsid w:val="00CA5F74"/>
    <w:rsid w:val="00CA62A6"/>
    <w:rsid w:val="00CA6F09"/>
    <w:rsid w:val="00CA7373"/>
    <w:rsid w:val="00CB11DE"/>
    <w:rsid w:val="00CB1810"/>
    <w:rsid w:val="00CB1D2A"/>
    <w:rsid w:val="00CB1E82"/>
    <w:rsid w:val="00CB1F63"/>
    <w:rsid w:val="00CB240B"/>
    <w:rsid w:val="00CB26A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22AA"/>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A1B"/>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19F"/>
    <w:rsid w:val="00D8021F"/>
    <w:rsid w:val="00D80383"/>
    <w:rsid w:val="00D80ADB"/>
    <w:rsid w:val="00D80B3E"/>
    <w:rsid w:val="00D81DFE"/>
    <w:rsid w:val="00D81F78"/>
    <w:rsid w:val="00D823C6"/>
    <w:rsid w:val="00D82883"/>
    <w:rsid w:val="00D82E25"/>
    <w:rsid w:val="00D83756"/>
    <w:rsid w:val="00D837A0"/>
    <w:rsid w:val="00D84C3B"/>
    <w:rsid w:val="00D84E09"/>
    <w:rsid w:val="00D86189"/>
    <w:rsid w:val="00D86B71"/>
    <w:rsid w:val="00D86CA3"/>
    <w:rsid w:val="00D87003"/>
    <w:rsid w:val="00D871CE"/>
    <w:rsid w:val="00D8787A"/>
    <w:rsid w:val="00D878A9"/>
    <w:rsid w:val="00D879A4"/>
    <w:rsid w:val="00D87C65"/>
    <w:rsid w:val="00D90993"/>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AB7"/>
    <w:rsid w:val="00DD6C37"/>
    <w:rsid w:val="00DD72B0"/>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631A"/>
    <w:rsid w:val="00DE654F"/>
    <w:rsid w:val="00DE7C1F"/>
    <w:rsid w:val="00DE7E0B"/>
    <w:rsid w:val="00DF0614"/>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2F9E"/>
    <w:rsid w:val="00E03251"/>
    <w:rsid w:val="00E03372"/>
    <w:rsid w:val="00E034DB"/>
    <w:rsid w:val="00E03511"/>
    <w:rsid w:val="00E03709"/>
    <w:rsid w:val="00E045A4"/>
    <w:rsid w:val="00E04A56"/>
    <w:rsid w:val="00E0503D"/>
    <w:rsid w:val="00E05B68"/>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3FA"/>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2BA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1CEB"/>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350"/>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393F"/>
    <w:rsid w:val="00F240C7"/>
    <w:rsid w:val="00F240CC"/>
    <w:rsid w:val="00F243D8"/>
    <w:rsid w:val="00F24CC7"/>
    <w:rsid w:val="00F24DE0"/>
    <w:rsid w:val="00F24F01"/>
    <w:rsid w:val="00F2688F"/>
    <w:rsid w:val="00F26E71"/>
    <w:rsid w:val="00F2777C"/>
    <w:rsid w:val="00F30828"/>
    <w:rsid w:val="00F3108E"/>
    <w:rsid w:val="00F31148"/>
    <w:rsid w:val="00F313D6"/>
    <w:rsid w:val="00F326AF"/>
    <w:rsid w:val="00F32B20"/>
    <w:rsid w:val="00F33113"/>
    <w:rsid w:val="00F33BF6"/>
    <w:rsid w:val="00F33DF6"/>
    <w:rsid w:val="00F33F60"/>
    <w:rsid w:val="00F3438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B03"/>
    <w:rsid w:val="00F46BF3"/>
    <w:rsid w:val="00F4766C"/>
    <w:rsid w:val="00F4790D"/>
    <w:rsid w:val="00F501A2"/>
    <w:rsid w:val="00F507D1"/>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3F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5E0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32CCE-1388-2148-826F-85A318EB8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867</TotalTime>
  <Pages>3</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1061</cp:revision>
  <cp:lastPrinted>2008-01-31T16:09:00Z</cp:lastPrinted>
  <dcterms:created xsi:type="dcterms:W3CDTF">2017-09-28T15:58:00Z</dcterms:created>
  <dcterms:modified xsi:type="dcterms:W3CDTF">2018-11-02T17:28:00Z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